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44" w:rsidRDefault="00A22427" w:rsidP="00217867">
      <w:pPr>
        <w:spacing w:before="0" w:after="0" w:line="480" w:lineRule="auto"/>
        <w:rPr>
          <w:noProof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11F99673" wp14:editId="2F0D7A4B">
            <wp:extent cx="2762250" cy="21526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71744" w:rsidRPr="00220B6D" w:rsidRDefault="00871744" w:rsidP="00217867">
      <w:pPr>
        <w:spacing w:before="0" w:after="0" w:line="480" w:lineRule="auto"/>
        <w:rPr>
          <w:noProof/>
          <w:sz w:val="20"/>
          <w:szCs w:val="20"/>
          <w:lang w:val="en-US"/>
        </w:rPr>
      </w:pPr>
    </w:p>
    <w:sectPr w:rsidR="00871744" w:rsidRPr="00220B6D" w:rsidSect="00603EBB">
      <w:pgSz w:w="12240" w:h="15840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BB"/>
    <w:rsid w:val="000C0C75"/>
    <w:rsid w:val="000D5774"/>
    <w:rsid w:val="00217867"/>
    <w:rsid w:val="00220B6D"/>
    <w:rsid w:val="00263DAB"/>
    <w:rsid w:val="002964DA"/>
    <w:rsid w:val="002B7A5C"/>
    <w:rsid w:val="0030224A"/>
    <w:rsid w:val="003932C3"/>
    <w:rsid w:val="003B6F2C"/>
    <w:rsid w:val="00603EBB"/>
    <w:rsid w:val="00727078"/>
    <w:rsid w:val="007555A3"/>
    <w:rsid w:val="00871744"/>
    <w:rsid w:val="0097406D"/>
    <w:rsid w:val="00A22427"/>
    <w:rsid w:val="00A865DB"/>
    <w:rsid w:val="00AD4015"/>
    <w:rsid w:val="00AE3D93"/>
    <w:rsid w:val="00CA2384"/>
    <w:rsid w:val="00DA03D9"/>
    <w:rsid w:val="00E365F6"/>
    <w:rsid w:val="00E8290B"/>
    <w:rsid w:val="00E97A4B"/>
    <w:rsid w:val="00F21E5C"/>
    <w:rsid w:val="00F919AB"/>
    <w:rsid w:val="00FB0AAB"/>
    <w:rsid w:val="00FE5919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4B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EBB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4B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EBB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718917418413263"/>
          <c:y val="5.0925925925925923E-2"/>
          <c:w val="0.73929610920230915"/>
          <c:h val="0.77223024205307667"/>
        </c:manualLayout>
      </c:layout>
      <c:scatterChart>
        <c:scatterStyle val="lineMarker"/>
        <c:varyColors val="0"/>
        <c:ser>
          <c:idx val="0"/>
          <c:order val="0"/>
          <c:tx>
            <c:strRef>
              <c:f>спектър!$B$15</c:f>
              <c:strCache>
                <c:ptCount val="1"/>
                <c:pt idx="0">
                  <c:v>Ge(IV) ‒ 4-NC ‒ Nt</c:v>
                </c:pt>
              </c:strCache>
            </c:strRef>
          </c:tx>
          <c:spPr>
            <a:ln w="1270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спектър!$A$16:$A$58</c:f>
              <c:numCache>
                <c:formatCode>General</c:formatCode>
                <c:ptCount val="43"/>
                <c:pt idx="0">
                  <c:v>360</c:v>
                </c:pt>
                <c:pt idx="1">
                  <c:v>365</c:v>
                </c:pt>
                <c:pt idx="2">
                  <c:v>370</c:v>
                </c:pt>
                <c:pt idx="3">
                  <c:v>375</c:v>
                </c:pt>
                <c:pt idx="4">
                  <c:v>380</c:v>
                </c:pt>
                <c:pt idx="5">
                  <c:v>385</c:v>
                </c:pt>
                <c:pt idx="6">
                  <c:v>390</c:v>
                </c:pt>
                <c:pt idx="7">
                  <c:v>395</c:v>
                </c:pt>
                <c:pt idx="8">
                  <c:v>400</c:v>
                </c:pt>
                <c:pt idx="9">
                  <c:v>405</c:v>
                </c:pt>
                <c:pt idx="10">
                  <c:v>410</c:v>
                </c:pt>
                <c:pt idx="11">
                  <c:v>415</c:v>
                </c:pt>
                <c:pt idx="12">
                  <c:v>420</c:v>
                </c:pt>
                <c:pt idx="13">
                  <c:v>425</c:v>
                </c:pt>
                <c:pt idx="14">
                  <c:v>430</c:v>
                </c:pt>
                <c:pt idx="15">
                  <c:v>435</c:v>
                </c:pt>
                <c:pt idx="16">
                  <c:v>440</c:v>
                </c:pt>
                <c:pt idx="17">
                  <c:v>445</c:v>
                </c:pt>
                <c:pt idx="18">
                  <c:v>450</c:v>
                </c:pt>
                <c:pt idx="19">
                  <c:v>455</c:v>
                </c:pt>
                <c:pt idx="20">
                  <c:v>460</c:v>
                </c:pt>
                <c:pt idx="21">
                  <c:v>465</c:v>
                </c:pt>
                <c:pt idx="22">
                  <c:v>470</c:v>
                </c:pt>
                <c:pt idx="23">
                  <c:v>475</c:v>
                </c:pt>
                <c:pt idx="24">
                  <c:v>480</c:v>
                </c:pt>
                <c:pt idx="25">
                  <c:v>485</c:v>
                </c:pt>
                <c:pt idx="26">
                  <c:v>490</c:v>
                </c:pt>
                <c:pt idx="27">
                  <c:v>495</c:v>
                </c:pt>
                <c:pt idx="28">
                  <c:v>500</c:v>
                </c:pt>
                <c:pt idx="29">
                  <c:v>505</c:v>
                </c:pt>
                <c:pt idx="30">
                  <c:v>510</c:v>
                </c:pt>
                <c:pt idx="31">
                  <c:v>515</c:v>
                </c:pt>
                <c:pt idx="32">
                  <c:v>520</c:v>
                </c:pt>
                <c:pt idx="33">
                  <c:v>525</c:v>
                </c:pt>
                <c:pt idx="34">
                  <c:v>530</c:v>
                </c:pt>
                <c:pt idx="35">
                  <c:v>535</c:v>
                </c:pt>
                <c:pt idx="36">
                  <c:v>540</c:v>
                </c:pt>
                <c:pt idx="37">
                  <c:v>550</c:v>
                </c:pt>
                <c:pt idx="38">
                  <c:v>560</c:v>
                </c:pt>
                <c:pt idx="39">
                  <c:v>570</c:v>
                </c:pt>
                <c:pt idx="40">
                  <c:v>580</c:v>
                </c:pt>
                <c:pt idx="41">
                  <c:v>590</c:v>
                </c:pt>
                <c:pt idx="42">
                  <c:v>600</c:v>
                </c:pt>
              </c:numCache>
            </c:numRef>
          </c:xVal>
          <c:yVal>
            <c:numRef>
              <c:f>спектър!$B$16:$B$58</c:f>
              <c:numCache>
                <c:formatCode>General</c:formatCode>
                <c:ptCount val="43"/>
                <c:pt idx="0">
                  <c:v>0.28999999999999998</c:v>
                </c:pt>
                <c:pt idx="1">
                  <c:v>0.33700000000000002</c:v>
                </c:pt>
                <c:pt idx="2">
                  <c:v>0.38600000000000001</c:v>
                </c:pt>
                <c:pt idx="3">
                  <c:v>0.437</c:v>
                </c:pt>
                <c:pt idx="4">
                  <c:v>0.48799999999999999</c:v>
                </c:pt>
                <c:pt idx="5">
                  <c:v>0.53200000000000003</c:v>
                </c:pt>
                <c:pt idx="6">
                  <c:v>0.57399999999999995</c:v>
                </c:pt>
                <c:pt idx="7">
                  <c:v>0.60499999999999998</c:v>
                </c:pt>
                <c:pt idx="8">
                  <c:v>0.622</c:v>
                </c:pt>
                <c:pt idx="9">
                  <c:v>0.625</c:v>
                </c:pt>
                <c:pt idx="10">
                  <c:v>0.61299999999999999</c:v>
                </c:pt>
                <c:pt idx="11">
                  <c:v>0.58699999999999997</c:v>
                </c:pt>
                <c:pt idx="12">
                  <c:v>0.54500000000000004</c:v>
                </c:pt>
                <c:pt idx="13">
                  <c:v>0.48899999999999999</c:v>
                </c:pt>
                <c:pt idx="14">
                  <c:v>0.42199999999999999</c:v>
                </c:pt>
                <c:pt idx="15">
                  <c:v>0.35299999999999998</c:v>
                </c:pt>
                <c:pt idx="16">
                  <c:v>0.28599999999999998</c:v>
                </c:pt>
                <c:pt idx="17">
                  <c:v>0.224</c:v>
                </c:pt>
                <c:pt idx="18">
                  <c:v>0.17100000000000001</c:v>
                </c:pt>
                <c:pt idx="19">
                  <c:v>0.128</c:v>
                </c:pt>
                <c:pt idx="20">
                  <c:v>9.2999999999999999E-2</c:v>
                </c:pt>
                <c:pt idx="21">
                  <c:v>6.8000000000000005E-2</c:v>
                </c:pt>
                <c:pt idx="22">
                  <c:v>4.8000000000000001E-2</c:v>
                </c:pt>
                <c:pt idx="23">
                  <c:v>3.5000000000000003E-2</c:v>
                </c:pt>
                <c:pt idx="24">
                  <c:v>2.5999999999999999E-2</c:v>
                </c:pt>
                <c:pt idx="25">
                  <c:v>0.02</c:v>
                </c:pt>
                <c:pt idx="26">
                  <c:v>1.6E-2</c:v>
                </c:pt>
                <c:pt idx="27">
                  <c:v>1.4999999999999999E-2</c:v>
                </c:pt>
                <c:pt idx="28">
                  <c:v>1.2999999999999999E-2</c:v>
                </c:pt>
                <c:pt idx="29">
                  <c:v>1.2E-2</c:v>
                </c:pt>
                <c:pt idx="30">
                  <c:v>1.2E-2</c:v>
                </c:pt>
                <c:pt idx="31">
                  <c:v>1.0999999999999999E-2</c:v>
                </c:pt>
                <c:pt idx="32">
                  <c:v>1.0999999999999999E-2</c:v>
                </c:pt>
                <c:pt idx="33">
                  <c:v>1.0999999999999999E-2</c:v>
                </c:pt>
                <c:pt idx="34">
                  <c:v>1.0999999999999999E-2</c:v>
                </c:pt>
                <c:pt idx="35">
                  <c:v>1.0999999999999999E-2</c:v>
                </c:pt>
                <c:pt idx="36">
                  <c:v>1.0999999999999999E-2</c:v>
                </c:pt>
                <c:pt idx="37">
                  <c:v>1.0999999999999999E-2</c:v>
                </c:pt>
                <c:pt idx="38">
                  <c:v>0.01</c:v>
                </c:pt>
                <c:pt idx="39">
                  <c:v>0.01</c:v>
                </c:pt>
                <c:pt idx="40">
                  <c:v>8.9999999999999993E-3</c:v>
                </c:pt>
                <c:pt idx="41">
                  <c:v>8.9999999999999993E-3</c:v>
                </c:pt>
                <c:pt idx="42">
                  <c:v>8.9999999999999993E-3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спектър!$C$15</c:f>
              <c:strCache>
                <c:ptCount val="1"/>
                <c:pt idx="0">
                  <c:v>4-NC ‒ Nt</c:v>
                </c:pt>
              </c:strCache>
            </c:strRef>
          </c:tx>
          <c:spPr>
            <a:ln w="12700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xVal>
            <c:numRef>
              <c:f>спектър!$A$16:$A$58</c:f>
              <c:numCache>
                <c:formatCode>General</c:formatCode>
                <c:ptCount val="43"/>
                <c:pt idx="0">
                  <c:v>360</c:v>
                </c:pt>
                <c:pt idx="1">
                  <c:v>365</c:v>
                </c:pt>
                <c:pt idx="2">
                  <c:v>370</c:v>
                </c:pt>
                <c:pt idx="3">
                  <c:v>375</c:v>
                </c:pt>
                <c:pt idx="4">
                  <c:v>380</c:v>
                </c:pt>
                <c:pt idx="5">
                  <c:v>385</c:v>
                </c:pt>
                <c:pt idx="6">
                  <c:v>390</c:v>
                </c:pt>
                <c:pt idx="7">
                  <c:v>395</c:v>
                </c:pt>
                <c:pt idx="8">
                  <c:v>400</c:v>
                </c:pt>
                <c:pt idx="9">
                  <c:v>405</c:v>
                </c:pt>
                <c:pt idx="10">
                  <c:v>410</c:v>
                </c:pt>
                <c:pt idx="11">
                  <c:v>415</c:v>
                </c:pt>
                <c:pt idx="12">
                  <c:v>420</c:v>
                </c:pt>
                <c:pt idx="13">
                  <c:v>425</c:v>
                </c:pt>
                <c:pt idx="14">
                  <c:v>430</c:v>
                </c:pt>
                <c:pt idx="15">
                  <c:v>435</c:v>
                </c:pt>
                <c:pt idx="16">
                  <c:v>440</c:v>
                </c:pt>
                <c:pt idx="17">
                  <c:v>445</c:v>
                </c:pt>
                <c:pt idx="18">
                  <c:v>450</c:v>
                </c:pt>
                <c:pt idx="19">
                  <c:v>455</c:v>
                </c:pt>
                <c:pt idx="20">
                  <c:v>460</c:v>
                </c:pt>
                <c:pt idx="21">
                  <c:v>465</c:v>
                </c:pt>
                <c:pt idx="22">
                  <c:v>470</c:v>
                </c:pt>
                <c:pt idx="23">
                  <c:v>475</c:v>
                </c:pt>
                <c:pt idx="24">
                  <c:v>480</c:v>
                </c:pt>
                <c:pt idx="25">
                  <c:v>485</c:v>
                </c:pt>
                <c:pt idx="26">
                  <c:v>490</c:v>
                </c:pt>
                <c:pt idx="27">
                  <c:v>495</c:v>
                </c:pt>
                <c:pt idx="28">
                  <c:v>500</c:v>
                </c:pt>
                <c:pt idx="29">
                  <c:v>505</c:v>
                </c:pt>
                <c:pt idx="30">
                  <c:v>510</c:v>
                </c:pt>
                <c:pt idx="31">
                  <c:v>515</c:v>
                </c:pt>
                <c:pt idx="32">
                  <c:v>520</c:v>
                </c:pt>
                <c:pt idx="33">
                  <c:v>525</c:v>
                </c:pt>
                <c:pt idx="34">
                  <c:v>530</c:v>
                </c:pt>
                <c:pt idx="35">
                  <c:v>535</c:v>
                </c:pt>
                <c:pt idx="36">
                  <c:v>540</c:v>
                </c:pt>
                <c:pt idx="37">
                  <c:v>550</c:v>
                </c:pt>
                <c:pt idx="38">
                  <c:v>560</c:v>
                </c:pt>
                <c:pt idx="39">
                  <c:v>570</c:v>
                </c:pt>
                <c:pt idx="40">
                  <c:v>580</c:v>
                </c:pt>
                <c:pt idx="41">
                  <c:v>590</c:v>
                </c:pt>
                <c:pt idx="42">
                  <c:v>600</c:v>
                </c:pt>
              </c:numCache>
            </c:numRef>
          </c:xVal>
          <c:yVal>
            <c:numRef>
              <c:f>спектър!$C$16:$C$58</c:f>
              <c:numCache>
                <c:formatCode>General</c:formatCode>
                <c:ptCount val="43"/>
                <c:pt idx="0">
                  <c:v>0.31900000000000001</c:v>
                </c:pt>
                <c:pt idx="1">
                  <c:v>0.28999999999999998</c:v>
                </c:pt>
                <c:pt idx="2">
                  <c:v>0.26800000000000002</c:v>
                </c:pt>
                <c:pt idx="3">
                  <c:v>0.24299999999999999</c:v>
                </c:pt>
                <c:pt idx="4">
                  <c:v>0.217</c:v>
                </c:pt>
                <c:pt idx="5">
                  <c:v>0.192</c:v>
                </c:pt>
                <c:pt idx="6">
                  <c:v>0.17</c:v>
                </c:pt>
                <c:pt idx="7">
                  <c:v>0.152</c:v>
                </c:pt>
                <c:pt idx="8">
                  <c:v>0.13700000000000001</c:v>
                </c:pt>
                <c:pt idx="9">
                  <c:v>0.122</c:v>
                </c:pt>
                <c:pt idx="10">
                  <c:v>0.112</c:v>
                </c:pt>
                <c:pt idx="11">
                  <c:v>0.10299999999999999</c:v>
                </c:pt>
                <c:pt idx="12">
                  <c:v>9.5000000000000001E-2</c:v>
                </c:pt>
                <c:pt idx="13">
                  <c:v>8.7999999999999995E-2</c:v>
                </c:pt>
                <c:pt idx="14">
                  <c:v>8.1000000000000003E-2</c:v>
                </c:pt>
                <c:pt idx="15">
                  <c:v>7.3999999999999996E-2</c:v>
                </c:pt>
                <c:pt idx="16">
                  <c:v>6.7000000000000004E-2</c:v>
                </c:pt>
                <c:pt idx="17">
                  <c:v>6.0999999999999999E-2</c:v>
                </c:pt>
                <c:pt idx="18">
                  <c:v>5.6000000000000001E-2</c:v>
                </c:pt>
                <c:pt idx="19">
                  <c:v>5.1999999999999998E-2</c:v>
                </c:pt>
                <c:pt idx="20">
                  <c:v>4.8000000000000001E-2</c:v>
                </c:pt>
                <c:pt idx="21">
                  <c:v>4.4999999999999998E-2</c:v>
                </c:pt>
                <c:pt idx="22">
                  <c:v>4.2999999999999997E-2</c:v>
                </c:pt>
                <c:pt idx="23">
                  <c:v>0.04</c:v>
                </c:pt>
                <c:pt idx="24">
                  <c:v>3.6999999999999998E-2</c:v>
                </c:pt>
                <c:pt idx="25">
                  <c:v>3.4000000000000002E-2</c:v>
                </c:pt>
                <c:pt idx="26">
                  <c:v>3.3000000000000002E-2</c:v>
                </c:pt>
                <c:pt idx="27">
                  <c:v>0.03</c:v>
                </c:pt>
                <c:pt idx="28">
                  <c:v>2.9000000000000001E-2</c:v>
                </c:pt>
                <c:pt idx="29">
                  <c:v>2.8000000000000001E-2</c:v>
                </c:pt>
                <c:pt idx="30">
                  <c:v>2.7E-2</c:v>
                </c:pt>
                <c:pt idx="31">
                  <c:v>2.5999999999999999E-2</c:v>
                </c:pt>
                <c:pt idx="32">
                  <c:v>2.5000000000000001E-2</c:v>
                </c:pt>
                <c:pt idx="33">
                  <c:v>2.4E-2</c:v>
                </c:pt>
                <c:pt idx="34">
                  <c:v>2.3E-2</c:v>
                </c:pt>
                <c:pt idx="35">
                  <c:v>2.3E-2</c:v>
                </c:pt>
                <c:pt idx="36">
                  <c:v>2.1999999999999999E-2</c:v>
                </c:pt>
                <c:pt idx="37">
                  <c:v>2.1000000000000001E-2</c:v>
                </c:pt>
                <c:pt idx="38">
                  <c:v>1.7999999999999999E-2</c:v>
                </c:pt>
                <c:pt idx="39">
                  <c:v>1.7000000000000001E-2</c:v>
                </c:pt>
                <c:pt idx="40">
                  <c:v>1.4999999999999999E-2</c:v>
                </c:pt>
                <c:pt idx="41">
                  <c:v>1.2E-2</c:v>
                </c:pt>
                <c:pt idx="42">
                  <c:v>8.9999999999999993E-3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394624"/>
        <c:axId val="94414336"/>
      </c:scatterChart>
      <c:valAx>
        <c:axId val="94394624"/>
        <c:scaling>
          <c:orientation val="minMax"/>
          <c:min val="35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 i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Wavelength 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λ,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nm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414336"/>
        <c:crosses val="autoZero"/>
        <c:crossBetween val="midCat"/>
      </c:valAx>
      <c:valAx>
        <c:axId val="944143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Absorbance, a.u.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endParaRPr lang="en-US" sz="8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5.0817268531088786E-3"/>
              <c:y val="0.2596943302441176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394624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49186418195508969"/>
          <c:y val="6.6671977286885828E-2"/>
          <c:w val="0.43213835129380201"/>
          <c:h val="0.2029437176384080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2</cp:revision>
  <cp:lastPrinted>2014-12-03T09:30:00Z</cp:lastPrinted>
  <dcterms:created xsi:type="dcterms:W3CDTF">2017-01-18T09:55:00Z</dcterms:created>
  <dcterms:modified xsi:type="dcterms:W3CDTF">2017-01-18T09:55:00Z</dcterms:modified>
</cp:coreProperties>
</file>